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330</w:t>
      </w:r>
    </w:p>
    <w:p>
      <w:r>
        <w:t>Bundesgericht (BGE), 2013-09-05, DE</w:t>
      </w:r>
    </w:p>
    <w:p>
      <w:r>
        <w:rPr>
          <w:b/>
        </w:rPr>
        <w:t xml:space="preserve">Quelle: </w:t>
      </w:r>
      <w:r>
        <w:t>https://mcp.opencaselaw.ch/entscheid/bge_139 I 330</w:t>
      </w:r>
    </w:p>
    <w:p>
      <w:r>
        <w:t>FR: ATF 139 I 330</w:t>
      </w:r>
    </w:p>
    <w:p>
      <w:r>
        <w:t>IT: DTF 139 I 330</w:t>
      </w:r>
    </w:p>
    <w:p>
      <w:pPr>
        <w:pStyle w:val="Heading2"/>
      </w:pPr>
      <w:r>
        <w:t>Regeste</w:t>
      </w:r>
    </w:p>
    <w:p>
      <w:r>
        <w:t>Regeste Art. 8 EMRK; Art. 23 FK; Art. 13 Abs. 1 BV; Art. 83 lit. c Ziff. 2 und lit. d BGG; Art. 14 Abs. 1, Art. 49 ff., 51 sowie 60 AsylG; Art. 44 und 51 Abs. 2 i.V.m. Art. 62 lit. e AuG; Art. 73 und 74 Abs. 5 VZAE; ausländerrechtlicher Familiennachzug von anerkannten Flüchtlingen mit Asyl in der Schweiz. Gegen den kantonal letztinstanzlichen Entscheid, durch den das Familiennachzugsgesuch eines anerkannten Flüchtlings für einen nach der Flucht geheirateten Partner abgewiesen wird, ist die Beschwerde in öffentlich-rechtlichen Angelegenheiten zulässig (E. 1). Im Rahmen von Art. 8 EMRK und 13 BV zu beachtende Kriterien bei Zuwanderungsfragen mit asyl- und flüchtlingsrechtlichem Hintergrund (E. 2); konventions- und verfassungskonforme Auslegung von Art. 44 AuG in einem solchen Fall (E. 3). Unternimmt ein anerkannter Flüchtling mit Asyl alles ihm Zumutbare, um sich - auch in wirtschaftlicher Hinsicht - möglichst rasch zu integrieren, kann ihm die Sozialhilfeabhängigkeit des nachzuziehenden Gatten nicht entgegengehalten werden, wenn sich der künftige Fehlbetrag in vertretbarer Höhe hält und in absehbarer Zeit vermutlich ausgeglichen werden kann (Bestätigung von BGE 122 II 1; E. 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besteht ( BGE 136 II 177 E. 1.1 S. 179 f., BGE 136 II 497 E. 3.3. S. 500 f.); in diesem Fall bildet die Frage, ob der Familiennachzug zu bewilligen ist, Gegenstand der materiellen Beurteilung ( BGE 137 I 284 E. 1.3 S. 287).</w:t>
      </w:r>
    </w:p>
    <w:p>
      <w:r>
        <w:rPr>
          <w:b/>
        </w:rPr>
        <w:t>E. 1.2</w:t>
      </w:r>
    </w:p>
    <w:p>
      <w:r>
        <w:t>Der beschwerdeführende Gatte ist ein anerkannter eritreischer Flüchtling, dem in der Schweiz Asyl gewährt wurde (vgl. Art. 49 des Asylgesetzes vom 26. Juni 1998 [AsylG; SR 142.31]). Er hat Anspruch auf eine Aufenthaltsbewilligung im Kanton, in dem er sich rechtmässig aufhält, sowie nach fünfjähriger rechtmässiger Anwesenheit - längerfristige Freiheitsstrafen bzw. erhebliche Verstösse gegen die öffentliche Sicherheit und Ordnung vorbehalten - auf die Niederlassungsbewilligung ( Art. 60 AsylG ; WALTER STÖCKLI, Asyl § 11, in: Ausländerrecht, Uebersax/Rudin/Hugi Yar/Geiser [Hrsg.], 2. Aufl. 2009, § 11, N. 11.47). Zwar kann der Beschwerdeführer keinen Anspruch auf Familiennachzug in direkter Anwendung von Art. 44 AuG ([SR 142.20] Familiennachzug von Personen mit Aufenthaltsbewilligung) geltend machen ( BGE 137 I 284 E. 1.2 S. 287 mit Hinweisen; MARTINA CARONI, Der Familiennachzug in der Schweiz - Gratwanderung zwischen Menschenrechten, Gleichberechtigung und restriktiver Zulassungspolitik, in: Jahrbuch für Migrationsrecht 2012/2013, BGE 139 I 330 S. 333 Achermann und andere [Hrsg.], 2013, S. 3 ff., dort 19 f.). Er verfügt wegen seiner flüchtlings- und asylrechtlichen Situation indessen über ein gefestigtes Anwesenheitsrecht , welches ihm erlaubt, sich auf den konventions- bzw. verfassungsrechtlich garantierten Schutz seines Familienlebens zu berufen ( Art. 8 EMRK und Art. 13 BV ; BGE 137 I 284 E. 1.3 S. 287; BGE 122 II 1 E. 1e S. 5 [altrechtlich]; vgl. auch BGE 139 II 65 E. 4.1; UEBERSAX/REFAEIL/BREITENMOSER, Die Familienvereinigung im internationalen und schweizerischen Flüchtlingsrecht, in: Schweizer Asylrecht, EU-Standards und internationales Flüchtlingsrecht, UNHCR/SFH [Hrsg.], 2009, S. 471 ff., dort 518).</w:t>
      </w:r>
    </w:p>
    <w:p>
      <w:r>
        <w:rPr>
          <w:b/>
        </w:rPr>
        <w:t>E. 1.3.1</w:t>
      </w:r>
    </w:p>
    <w:p>
      <w:r>
        <w:t>Dem steht der Ausschlussgrund von Art. 83 lit. d BGG nicht entgegen: Danach ist die Beschwerde in öffentlich-rechtlichen Angelegenheiten gegen Entscheide auf dem Gebiet des Asyls unzulässig, die vom Bundesverwaltungsgericht getroffen wurden oder von einer kantonalen Vorinstanz ausgehen und sich auf eine Bewilligung beziehen, auf deren Erteilung weder das Bundesrecht noch das Völkerrecht einen Anspruch einräumen. Das Abkommen vom 28. Juli 1951 über die Rechtsstellung der Flüchtlinge (Flüchtlingskonvention, FK; SR 0.142.30) umfasst kein Recht auf Familienzusammenführung; das Exekutivkomitee hat die Signatarstaaten lediglich aufgefordert, in Beachtung des Grundsatzes der Einheit der Familie, die Familienzusammenführung zu fördern; ökonomische Kriterien sowie fehlender Wohnraum dürften den Familiennachzug nicht "übermässig verzögern"; es seien diesbezüglich vielmehr geeignete Unterstützungsmassnahmen vorzusehen (UEBERSAX/REFAEIL/BREITENMOSER, a.a.O., S. 487).</w:t>
      </w:r>
    </w:p>
    <w:p>
      <w:r>
        <w:rPr>
          <w:b/>
        </w:rPr>
        <w:t>E. 1.3.2</w:t>
      </w:r>
    </w:p>
    <w:p>
      <w:r>
        <w:t>Asylrechtlich werden Ehegatten von Flüchtlingen und ihre minderjährigen Kinder in der Schweiz als Flüchtlinge anerkannt und erhalten Asyl, wenn keine besonderen Umstände hiergegen sprechen ( Art. 51 Abs. 1 AsylG ). Wurden die anspruchsberechtigten Personen durch die Flucht getrennt und befinden sie sich im Ausland, so ist ihre Einreise auf Gesuch hin zu bewilligen ( Art. 51 Abs. 4 AsylG ; "Familienasyl"). Das Asylgesetz geht beim Einschluss des Ehegatten und der minderjährigen Kinder in den Flüchtlingsstatus davon aus, dass diese engsten Familienangehörigen ebenfalls unter der Verfolgung im Heimatstaat gelitten haben oder selbst der Gefahr der Verfolgung ausgesetzt gewesen sind ("Reflexverfolgung" bzw. "abgeleitete" oder "formelle" Flüchtlingseigenschaft). Mit dem BGE 139 I 330 S. 334 "Familienasyl" erhalten die Angehörigen die gleiche Rechtsstellung und damit auch denselben flüchtlingsrechtlichen Schutz wie der nachziehende anerkannte Flüchtling (vgl. CARONI/MEYER/OTT, Migrationsrecht, 2. Aufl. 2011, N. 706). Soweit die Familienmitglieder sich noch im Ausland befinden, wird ihre Einreise bewilligt, wenn sie durch die Flucht getrennt wurden ( Art. 51 Abs. 4 AsylG ). Ist dies nicht der Fall, können sie grundsätzlich weder einreisen, noch erhalten sie "Familienasyl" (TARKAN GÖKSU, Familiennachzug im Asylrecht, Asyl 1/2004 S. 11 ff., dort 19). Dieses setzt demnach eine vorbestandene , durch die Flucht getrennte eheliche Lebensgemeinschaft voraus (CARONI/MEYER/OTT, a.a.O., N. 708; UEBERSAX/REFAEIL/BREITENMOSER, a.a.O., S. 517 F.; THOMAS HUGI YAR, von Trennungen, Härtefällen und Delikten - Ausländerrechtliches rund um die Ehe- und Familiengemeinschaft, in: Jahrbuch für Migrationsrecht 2012/2013, a.a.O., S. 31 ff., dort 44 f.).</w:t>
      </w:r>
    </w:p>
    <w:p>
      <w:r>
        <w:rPr>
          <w:b/>
        </w:rPr>
        <w:t>E. 1.3.3</w:t>
      </w:r>
    </w:p>
    <w:p>
      <w:r>
        <w:t>Ziel dieser Regelung ist es, zu verhindern, "dass etwa durch die wiederholte Heirat eines anerkannten Flüchtlings verschiedene weitere Personen einzig wegen des mit der Heirat verbundenen Einbezugs in die Flüchtlingseigenschaft automatisch ebenfalls zu Flüchtlingen werden, ohne dass bei ihnen die Voraussetzungen einer Reflexverfolgung tatsächlich gegeben" wären (vgl. die Botschaft vom 4. Dezember 1995 zur Totalrevision des Asylgesetzes, BBl 1996 II 1 ff., dort 69 zu Art. 48). Die Prüfung, ob der sich im Ausland befindende Familienangehörige die Flüchtlingseigenschaft originär (bzw. materiell) erfüllt, d.h. aufgrund eigener persönlicher Gefährdung, geht der Anerkennung eines allfälligen derivativen Anspruchs auf "Familienasyl" jeweils vor ( Art. 37 der Asylverordnung 1 vom 11. August 1999 über Verfahrensfragen [AsylV 1; SR 142.311] ; BVGE 2007/19 E. 3.3; CARONI/MEYER/OTT, a.a.O., N. 707; UEBERSAX/REFAEIL/BREITENMOSER, a.a.O., S. 518).</w:t>
      </w:r>
    </w:p>
    <w:p>
      <w:r>
        <w:rPr>
          <w:b/>
        </w:rPr>
        <w:t>E. 1.4.1</w:t>
      </w:r>
    </w:p>
    <w:p>
      <w:r>
        <w:t>Ist die Familie des asylberechtigten Flüchtlings - wie hier - nicht durch die Flucht getrennt, sondern die Ehe erst danach eingegangen worden, haben die Ausländerbehörden die Familienvereinigung und allfällige diesbezüglich bestehende Rechtsansprüche ausländerrechtlicher Natur in Anwendung von Art. 43 f. AuG bzw. Art. 8 EMRK oder Art. 13 BV zu prüfen (BBl 1996 II 69; Entscheidungen und Mitteilungen der Schweizerischen Asylrekurskommission EMARK 2006 Nr. 8 ; Handbuch zum Asyl- und Wegweisungsverfahren, Schweizerische Flüchtlingshilfe [Hrsg.], 2009, S. 255; BGE 139 I 330 S. 335 UEBERSAX/REFAEIL/BREITENMOSER, a.a.O., S. 519; STÖCKLI, a.a.O., N. 11.47 Fn. 99; PETER UEBERSAX, Die EMRK und das Migrationsrecht aus der Sicht der Schweiz, in: EMRK und die Schweiz, Breitenmoser/Ehrenzeller [Hrsg.], 2010, S. 203 ff., dort 226 Fn. 102; SPESCHA/KERLAND/BOLZLI, Handbuch zum Migrationsrecht, 2010, S. 313 Fn. 34; GÖKSU, a.a.O., S. 19; HUGI YAR, a.a.O., S. 45). Die Rechtsstellung der Flüchtlinge richtet sich in diesem Fall - mangels besonderer asylrechtlicher Bestimmungen - nach den für die entsprechenden ausländischen Personen allgemein geltenden Regeln ( Art. 58 AsylG ).</w:t>
      </w:r>
    </w:p>
    <w:p>
      <w:r>
        <w:rPr>
          <w:b/>
        </w:rPr>
        <w:t>E. 1.4.2</w:t>
      </w:r>
    </w:p>
    <w:p>
      <w:r>
        <w:t>Der Grundsatz des Vorrangs des Asylverfahrens ( Art. 14 Abs. 1 AsylG ) schliesst dies nicht aus: Zwar hat die Beschwerdeführerin aus dem Sudan über die Botschaft ein eigenes Asylgesuch gestellt, das vom Bundesamt für Migration bearbeitet wird, doch bezieht sich der Vorrang des asylrechtlichen Verfahrens, wie sich aus dem Wortlaut von Art. 14 Abs. 1 AsylG ergibt ("bis zur Ausreise"), auf Verfahren im Inland, nicht auf solche, bei denen sich der Gesuchsteller noch im Ausland befindet. Der Grundsatz des Vorrangs des Asylverfahrens wird zudem durchbrochen, wenn ein konventionsrechtlicher Anspruch auf die Erteilung der beantragten ausländerrechtlichen Bewilligung besteht, wie die Beschwerdeführer dies in ihrem Fall geltend machen ( Art. 14 Abs. 1 AsylG [in fine]; vgl. Urteil 2C_459/2011 vom 26. April 2012 E. 1.1, nicht publ. in: BGE 138 I 246 ff.; BGE 137 I 351 E. 3.1 mit Hinweisen). Auf die frist- ( Art. 100 Abs. 1 BGG ) und formgerecht ( Art. 42 BGG ) gegen den negativen, kantonal letztinstanzlichen ausländerrechtlichen Nachzugsentscheid eingereichte Beschwerde in öffentlich-rechtlichen Angelegenheiten ist einzutreten.</w:t>
      </w:r>
    </w:p>
    <w:p>
      <w:r>
        <w:rPr>
          <w:b/>
        </w:rPr>
        <w:t>E. 2.1</w:t>
      </w:r>
    </w:p>
    <w:p>
      <w:r>
        <w:t>Die Europäische Menschenrechtskonvention verschafft praxisgemäss keinen Anspruch auf Einreise und Aufenthalt oder auf einen besonderen Aufenthaltstitel (vgl. BGE 138 I 246 E. 3.2.1; BGE 137 I 247 E. 4.1.1; BGE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Dennoch kann es das in Art. 8 EMRK geschützte Recht auf Achtung des Privat- und Familienlebens verletzen, wenn einer ausländischen Person, deren Familienangehörige sich hier aufhalten, die Anwesenheit untersagt und damit ihr Zusammenleben vereitelt BGE 139 I 330 S. 336 wird ( BGE 135 I 143 E. 1.3.1 S. 145, BGE 135 I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116 Ib 353 E. 3c S. 357; BGE 137 I 247 E. 4.1.2).</w:t>
      </w:r>
    </w:p>
    <w:p>
      <w:r>
        <w:rPr>
          <w:b/>
        </w:rPr>
        <w:t>E. 2.2</w:t>
      </w:r>
    </w:p>
    <w:p>
      <w:r>
        <w:t>Der Anspruch gilt auch dann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135 I 153 E. 2.2.1, BGE 135 I 143 E. 2.1; BGE 122 II 1 E. 2 S. 6; BGE 116 Ib 353 E. 3 S. 357 ff.). Das öffentliche Interesse überwiegt, wenn die Massnahme durch ein "herausragendes soziales Bedürfnis" gerechtfertigt und in Bezug auf das rechtmässig verfolgte Ziel verhältnismässig erscheint bzw. einer "fairen" Interessenabwägung entspricht (vgl. ZÜND/HUGI YAR, Aufenthaltsbeendende Massnahmen im schweizerischen Ausländerrecht, insbesondere unter dem Aspekt des Privat- und Familienlebens, EuGRZ 40/2013 S. 1 ff. N. 17 mit Hinweisen).</w:t>
      </w:r>
    </w:p>
    <w:p>
      <w:r>
        <w:rPr>
          <w:b/>
        </w:rPr>
        <w:t>E. 2.3</w:t>
      </w:r>
    </w:p>
    <w:p>
      <w:r>
        <w:t>In Fällen, die - wie hier - sowohl das Familienleben als auch die Zuwanderung betreffen, hängt der Umfang der Pflicht, ausländische Familienmitglieder auf dem Staatsgebiet dulden bzw. ihnen den Aufenthalt ermöglichen zu müssen, jeweils von den BGE 139 I 330 S. 337 Umständen des Einzelfalls ab (EGMR-Urteile Nunez gegen Norwegen vom 28. Juni 2011 [Nr. 55597/09] § 70; Darren Omoregie gegen Norwegen vom 31. Juli 2008 [Nr. 265/07] § 57).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vgl. EGMR-Urteil Nunez , § 84; siehe auch die Urteile Biraga gegen Schweden vom 3. April 2012 [Nr. 1722/10] § 49 ff.; Antwi und Mitb. gegen Norwegen vom 14. Februar 2012 [Nr. 26940/10] § 87 ff.; Darren Omoregie , § 57; Konstantinov gegen Niederlande vom 26. April 2007 [Nr. 16351/03]§ 48; Abdulaziz, Cabales und Balkandali gegen Vereinigtes Königreich vom 28. Mai 1985, Serie A Bd. 138 § 67 ff.; ZÜND/HUGI YAR, a.a.O., N. 16; MINH SON NGUYEN, Migrations et relations familiales: de la norme à la jurisprudence et vice versa, in: Migrations et regroupement familial, Amarelle/Christen/Nguyen [Hrsg.], 2012, S. 109 ff.,dort 146 ff.).</w:t>
      </w:r>
    </w:p>
    <w:p>
      <w:r>
        <w:rPr>
          <w:b/>
        </w:rPr>
        <w:t>E. 2.4.1</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Mit Blick auf den Schutz des Familienlebens der betroffenen Personen sind gute Gründe erforderlich, um den Nachzug der Familienangehörigen zu verweigern ( BGE 137 I 284 E. 2.6 S. 293). Solche liegen vor, wenn die Betroffenen die Bewilligungsvoraussetzungen von Art. 44 AuG i.V.m. BGE 139 I 330 S. 338 Art. 73 der Verordnung vom 24. Oktober 2007 über Zulassung, Aufenthalt und Erwerbstätigkeit (VZAE; SR 142.201) nicht erfüllen oder Erlöschensgründe im Sinne von Art. 51 Abs. 2 AuG bestehen. Die meisten europäischen Staaten gewähren das Recht auf Nachzug der engeren Familie erst, wenn deren Unterhalt gesichert erscheint bzw. die Familie über eine geeignete Wohnung verfügt (vgl. BGE 126 II 335 E. 3c/aa S. 344). Zudem ist jeweils den vom EGMR bei der Einzelfallbeurteilung mitberücksichtigten weiteren Umständen Rechnung zu tragen (vgl. E. 2.3).</w:t>
      </w:r>
    </w:p>
    <w:p>
      <w:r>
        <w:rPr>
          <w:b/>
        </w:rPr>
        <w:t>E. 2.4.2</w:t>
      </w:r>
    </w:p>
    <w:p>
      <w:r>
        <w:t>Der Nachzugsanspruch bei einer gefestigten Aufenthaltsbewilligung eines der Ehepartner besteht in diesem Rahmen unter Berücksichtigung des gesetzlichen Systems, wenn der ausländische Ehegatte mit der hier gefestigt anwesenden Person zusammenwohnt (Art. 44 lit. a AuG), die Eheleute über eine bedarfsgerechte Unterkunft verfügen (Art. 44 lit. b AuG) und sie nicht auf Sozialhilfe angewiesen sind. Zudem müssen die jeweiligen Nachzugsfristen eingehalten sein ( Art. 73 Abs. 1-3 VZAE ).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 vgl. zu diesem Kriterium das EGMR-Urteil Hasanbasic gegen Schweiz vom 11. Juni 2013 [Nr. 52166/09] § 59 mit weiteren Hinweisen).</w:t>
      </w:r>
    </w:p>
    <w:p>
      <w:r>
        <w:rPr>
          <w:b/>
        </w:rPr>
        <w:t>E. 3.1</w:t>
      </w:r>
    </w:p>
    <w:p>
      <w:r>
        <w:t>Der Beschwerdeführer ist im September 2008 in die Schweiz gekommen. Am 21. Mai 2010 wurde ihm Asyl gewährt und gestützt hierauf eine Aufenthaltsbewilligung erteilt. Erst nach der Flucht heiratete er am 20. Dezember 2010 seine heutige Gattin. Seine Rechtsstellung hat in dem Sinne als gesichert zu gelten, dass er selber nur noch unter besonderen Umständen ausgewiesen oder in seine Heimat zurückgeschafft werden kann (vgl. Art. 63 bzw. 65 AsylG und BGE 135 II 110 ff.; BGE 139 II 65 E. 4 und 5). Seine Beziehung zur Schweiz als Asylland ist damit eng ( BGE 122 II 1 E. 3d S. 10): Sozialhilferechtliche Probleme können ihm persönlich flüchtlings- und asylrechtlich nicht entgegengehalten und seine ausländerrechtliche Anwesenheit darf nicht wegen solcher beendet werden; auf seine eigene finanzielle Situation kommt es somit nicht unmittelbar an (vgl. BGE 122 II 1 E. 3c S. 8). Nach Art. 23 FK ist ihm als anerkanntem Flüchtling ohne ausländerrechtliche Folgen vielmehr "die BGE 139 I 330 S. 339 gleiche Fürsorge und öffentliche Unterstützung wie den Einheimischen" geschuldet.</w:t>
      </w:r>
    </w:p>
    <w:p>
      <w:r>
        <w:rPr>
          <w:b/>
        </w:rPr>
        <w:t>E. 3.2</w:t>
      </w:r>
    </w:p>
    <w:p>
      <w:r>
        <w:t>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(vgl. die EGMR-Urteile Konstantinov , § 50 ["wirtschaftliches Wohl des Landes"] und Hasanbasic , § 59), doch sind die statusspezifischen Umstände beim (nachträglichen, ausländerrechtlichen) Familiennachzug von Flüchtlingen mit Asylstatus jeweils mitzuberücksichtigen (vgl. BGE 122 II 1 E. 2 S. 6). Dies ergibt sich bereits aus Art. 74 Abs. 5 VZAE , wonach der "besonderen Situation von vorläufig aufgenommenen Flüchtlingen [...] beim Entscheid über die Gewährung des Familiennachzugs Rechnung" getragen wird, was umso mehr für anerkannte Flüchtlinge gelten muss, denen die Schweiz Asyl gewährt hat und die damit über eine bessere Rechtsstellung verfügen als die vorläufig aufgenommenen Flüchtlinge. Bei einem anerkannten Flüchtling mit Asyl überwiegen regelmässig die privaten Interessen am Familiennachzug, wenn eine Ausreise unzumutbar erscheint und keine fremdenpolizeilichen Entfernungs- oder Fernhaltegründe bestehen (vgl. BGE 122 II 1 E. 2e S. 6; BGE 120 Ib 1 E. 3c). Hieran ändert nichts, dass der Gesetzgeber im Ausländergesetz die Anspruchssituationen im Vergleich zur vorherigen Rechtslage (Bundesgesetz vom 26. März 1931 über Aufenthalt und Niederlassung der Ausländer [ANAG; BS 1 121]) umfassender geregelt und auf einen Bewilligungsanspruch im Rahmen von Art. 44 AuG ausdrücklich verzichtet hat. Dieser bezieht sich in erster Linie auf die Fälle eines freiwilligen Aufenthalts in der Schweiz und schliesst eine konventions- und verfassungskonforme Auslegung im Sinne der bisherigen Rechtsprechung ( BGE 122 II 1 ff.) in Fällen nicht aus, in denen eine Person wegen staatlicher Verfolgung ihr Heimatland verlassen musste und eine Rückkehr bzw. ein Aufenthalt in einem Drittstaat, um das nachträglich begründete Familienleben pflegen zu können, nicht ernstlich in Betracht fällt.</w:t>
      </w:r>
    </w:p>
    <w:p>
      <w:r>
        <w:rPr>
          <w:b/>
        </w:rPr>
        <w:t>E. 3.3</w:t>
      </w:r>
    </w:p>
    <w:p>
      <w:r>
        <w:t>Die Gattin des Beschwerdeführers ist selber Eritreerin und hält sich nach ihren Angaben ohne Aufenthaltsberechtigung im Sudan BGE 139 I 330 S. 340 auf, wobei die Verhältnisse, denen sie dort ausgesetzt ist, allgemein und wegen ihrer gesundheitlichen Probleme ("chronische Rückenschmerzen, Irritation des Ischiasnervs und ständig wiederkehrendes Typhus-Fieber") als schwierig zu gelten haben. Zwar heiratete der Beschwerdeführer sie erst, nachdem er in der Schweiz Asyl erhalten hatte, doch riskierte der Beschwerdeführer, seinen Asylstatus zu verlieren, entschlösse er sich, zu seiner Frau in den Sudan zu ziehen. Zudem hat sich das Paar gemäss eigenen Angaben bereits vor der Flucht in Eritrea gekannt und dort eine Beziehung gepflegt. Entgegen den Überlegungen der Sicherheitsdirektion des Kantons Zürich kann unter diesen Umständen nicht ohne weitere Abklärungen und rein vermutungsweise davon ausgegangen werden, das Zusammenleben sei "wohl auch" im Sudan möglich, wo die Heirat stattgefunden habe. Aufgrund der dortigen spezifischen Verhältnisse von eritreischen Flüchtlingen (vgl. hierzu etwa das Urteil des BVGer D-5921/2009 vom 30. März 2012 E. 5) und mit Blick auf den Asylentscheid zugunsten des Beschwerdeführers kann nicht gesagt werden, dass die Eheleute ihre Beziehung im gemeinsamen Heimatstaat oder (legal) in einem (anderen) Drittstaat leben könnten, zu dem engere Beziehungen bestünden als zur Schweiz (vgl. BGE 130 II 281 E. 3.3 S. 289).</w:t>
      </w:r>
    </w:p>
    <w:p>
      <w:r>
        <w:rPr>
          <w:b/>
        </w:rPr>
        <w:t>E. 3.4</w:t>
      </w:r>
    </w:p>
    <w:p>
      <w:r>
        <w:t>Die kantonalen Behörden gehen davon aus, dass die Ehe nicht missbräuchlich eingegangen worden ist und keine anderen Verweigerungsgründe als die allfälligen finanziellen Probleme des Paares bestehen. Sie weisen darauf hin, dass bei einem aktuellen Mietzins von Fr. 990.- pro Monat nicht gesagt werden könne, dass der Beschwerdeführer eine "sehr kleine Wohnung" miete, was zu berücksichtigen sei, "wenn [er], nachdem sich seine Einkommenssituation gefestigt hat, ein neues Nachzugsgesuch stellen sollte". Die Vorinstanz stellt auch nicht infrage, dass der Beschwerdeführer die Beziehung zu seiner Frau, die er bereits seit Jahren aus der gemeinsamen Heimat kennt, im Rahmen des faktisch und rechtlich Möglichen über die Grenzen hinweg gepflegt hat und die beiden künftig in der Schweiz einen gemeinsamen Haushalt begründen wollen. Wäre dies nicht der Fall oder ergäben sich nachträglich Anhaltspunkte dafür, dass die Ehe dazu dient, die schweizerischen Migrationsbehörden zu täuschen, könnte die vom Beschwerdeführer abgeleitete Aufenthaltsbewilligung der Gattin gegebenenfalls widerrufen bzw. nicht mehr erneuert werden (vgl. Art. 62 AuG). Da die BGE 139 I 330 S. 341 Beschwerdeführerin ausländer- und nicht flüchtlings- bzw. asylrechtlich in die Schweiz zu ihrem Mann nachzieht ( Art. 8 EMRK / Art.13 BV i.V.m. Art. 44 AuG), gelten für sie ausschliesslich die Regeln über die ausländerrechtliche Aufenthaltsbeendigung; sie selber verfügt nicht über den Status als Flüchtling, solange ihr dieser nicht zuerkannt worden ist.</w:t>
      </w:r>
    </w:p>
    <w:p>
      <w:r>
        <w:rPr>
          <w:b/>
        </w:rPr>
        <w:t>E. 4</w:t>
      </w:r>
    </w:p>
    <w:p>
      <w:r>
        <w:t>Zu prüfen bleibt ausschliesslich noch, ob die finanzielle Situation der Beschwerdeführer dem Familiennachzug zum Zeitpunkt des vorinstanzlichen Entscheids entgegengestanden hat.</w:t>
      </w:r>
    </w:p>
    <w:p>
      <w:r>
        <w:rPr>
          <w:b/>
        </w:rPr>
        <w:t>E. 4.1</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122 II 1 E. 3c S. 8 f.; Urteil 2C_31/2012 vom 15. März 2012 E. 2.2).</w:t>
      </w:r>
    </w:p>
    <w:p>
      <w:r>
        <w:rPr>
          <w:b/>
        </w:rPr>
        <w:t>E. 4.2</w:t>
      </w:r>
    </w:p>
    <w:p>
      <w:r>
        <w:t>Die entsprechende Praxis gilt unter dem neuen Recht fort (vgl. oben E. 3.2; siehe auch die Urteile 2C_639/2012 vom 13. Februar 2013 E. 4.5.2 und 2C_31/2012 vom 15. März 2012 E. 2.2): Das Interesse, die öffentliche Fürsorge vor dem Risiko zusätzlicher Belastung zu bewahren, rechtfertigt nur dann eine massive Erschwerung oder gar ein Verunmöglichen des Familienlebens von anerkannten Flüchtlingen mit Asyl, wenn die entsprechende Gefahr in zeitlicher und umfangmässiger Hinsicht als erheblich zu gewichten ist; die Schweiz hat diesbezüglich gewisse Konsequenzen aus der Asylgewährung, der Ehefreiheit der Betroffenen ( Art. 14 BV ) und der damit verbundenen allfälligen künftigen Familienbildung zu tragen ( BGE 122 II 1 E. 3a). Unternimmt der anerkannte Flüchtling mit Asylstatus alles ihm Zumutbare, um auf dem Arbeitsmarkt seinen BGE 139 I 330 S. 342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falls er trotz dieser Bemühungen innerhalb der für den Familiennachzug geltenden Frist unverschuldet keine Situation zu schaffen vermag, die es ihm erlaubt, die Voraussetzungen von Art. 44 lit. c AuG zu erfüllen, sich der Fehlbetrag in vertretbarer Höhe hält und in absehbarer Zeit ausgeglichen werden kann. Dem gefestigt anwesenden Flüchtling mit Asyl kommt ein Aufenthaltsrecht zu, das einen Familiennachzug ausserhalb des Familienasyls gebieten und die Schweiz im Sinne der bundesgerichtlichen Rechtsprechung verpflichten kann, den Betroffenen zu ermöglichen, die hierfür erforderlichen Voraussetzungen zu erfüllen (vgl. BGE 126 II 335 E. 2b/cc) bzw. im Sinne einer verfassungs- und konventionsrechtlichen Schutzpflicht zumindest weniger hohe Anforderungen an die finanzielle Unabhängigkeit zu stellen als in nicht asyl- und flüchtlingsrechtlich relevanten Fällen.</w:t>
      </w:r>
    </w:p>
    <w:p>
      <w:r>
        <w:rPr>
          <w:b/>
        </w:rPr>
        <w:t>E. 4.3</w:t>
      </w:r>
    </w:p>
    <w:p>
      <w:r>
        <w:t>Nach dem verbindlich und nicht willkürlich festgestellten Sachverhalt der Vorinstanz ( Art. 105 Abs. 2 BGG ) hat sich der Beschwerdeführer um seine Integration bemüht. Er besuchte verschiedene Deutschkurse und nahm an Beschäftigungsprogrammen teil. Seit dem 8. Mai 2012 ist er erwerbstätig. Zwar hat er anfangs "nur" Fr. 1'961.30 (117,95 Stunden in drei Wochen) verdient und garantiert ihm seine Festanstellung bloss ein Pensum von 17 Stunden pro Woche, doch betrugen seine Einkünfte in der Folge dennoch zwischen Fr. 3'198.- und Fr. 3'621.80, was es ihm erlauben würde, für die von der Vorinstanz errechneten gemeinsamen Kosten des Ehepaars von Fr. 2'900.- aufzukommen, selbst wenn seine Gattin nicht selber rasch zu den Ausgaben beitragen sollte. Umgekehrt ist nicht zu verkennen, dass seine bessere wirtschaftliche Situation zum Zeitpunkt des angefochtenen Entscheids (August 2012) erst seit kurzer Zeit bestand und diese aufgrund des Arbeitsvertrags im Rahmen der Beweiswürdigung bzw. der prospektiven Abschätzung der Entwicklung durch das Verwaltungsgericht ohne Verletzung von Bundesrecht noch nicht als hinreichend gesichert erachtet werden konnte, um im Falle des Nachzugs eine nicht auf Dauer ins Gewicht fallende Fürsorgeabhängigkeit mit hinreichender Wahrscheinlichkeit auszuschliessen. Der angefochtene Entscheid verletzt deshalb - BGE 139 I 330 S. 343 entgegen den Ausführungen der Beschwerdeführer - kein Bundesrecht. Sollte sich die sich beim Entscheid der Vorinstanz erst abzeichnende finanzielle Entwicklung inzwischen indessen bestätigt haben und keine anderen Verweigerungsgründe vorliegen, wäre das Familiennachzugsgesuch gutzuheissen, andernfalls die Garantien von Art. 8 EMRK bzw. Art. 13 BV in ungerechtfertigter Weise beeinträchtigt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